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7E88B">
      <w:pPr>
        <w:spacing w:line="600" w:lineRule="exact"/>
        <w:jc w:val="center"/>
        <w:rPr>
          <w:rFonts w:eastAsia="方正小标宋_GBK"/>
          <w:sz w:val="52"/>
          <w:szCs w:val="52"/>
        </w:rPr>
      </w:pPr>
      <w:r>
        <w:rPr>
          <w:rFonts w:eastAsia="方正小标宋_GBK"/>
          <w:sz w:val="52"/>
          <w:szCs w:val="52"/>
        </w:rPr>
        <w:t>202</w:t>
      </w:r>
      <w:r>
        <w:rPr>
          <w:rFonts w:hint="eastAsia" w:eastAsia="方正小标宋_GBK"/>
          <w:sz w:val="52"/>
          <w:szCs w:val="52"/>
        </w:rPr>
        <w:t>5</w:t>
      </w:r>
      <w:r>
        <w:rPr>
          <w:rFonts w:eastAsia="方正小标宋_GBK"/>
          <w:sz w:val="52"/>
          <w:szCs w:val="52"/>
        </w:rPr>
        <w:t>年度部门整体支出</w:t>
      </w:r>
    </w:p>
    <w:p w14:paraId="231CEABF">
      <w:pPr>
        <w:spacing w:line="600" w:lineRule="exact"/>
        <w:jc w:val="center"/>
        <w:rPr>
          <w:rFonts w:eastAsia="方正小标宋_GBK"/>
          <w:sz w:val="52"/>
          <w:szCs w:val="52"/>
        </w:rPr>
      </w:pPr>
      <w:r>
        <w:rPr>
          <w:rFonts w:eastAsia="方正小标宋_GBK"/>
          <w:sz w:val="52"/>
          <w:szCs w:val="52"/>
        </w:rPr>
        <w:t>绩效自评报告</w:t>
      </w:r>
    </w:p>
    <w:p w14:paraId="389FE616">
      <w:pPr>
        <w:spacing w:line="600" w:lineRule="exact"/>
        <w:jc w:val="center"/>
        <w:rPr>
          <w:rFonts w:eastAsia="方正小标宋_GBK"/>
          <w:b/>
          <w:sz w:val="52"/>
          <w:szCs w:val="52"/>
        </w:rPr>
      </w:pPr>
    </w:p>
    <w:p w14:paraId="548B1AE9">
      <w:pPr>
        <w:spacing w:line="600" w:lineRule="exact"/>
        <w:jc w:val="center"/>
        <w:rPr>
          <w:rFonts w:eastAsia="黑体"/>
          <w:sz w:val="32"/>
          <w:szCs w:val="32"/>
        </w:rPr>
      </w:pPr>
    </w:p>
    <w:p w14:paraId="00D2F010">
      <w:pPr>
        <w:spacing w:line="600" w:lineRule="exact"/>
        <w:jc w:val="center"/>
        <w:rPr>
          <w:rFonts w:eastAsia="黑体"/>
          <w:sz w:val="32"/>
          <w:szCs w:val="32"/>
        </w:rPr>
      </w:pPr>
    </w:p>
    <w:p w14:paraId="242D2329">
      <w:pPr>
        <w:spacing w:line="600" w:lineRule="exact"/>
        <w:jc w:val="center"/>
        <w:rPr>
          <w:rFonts w:eastAsia="黑体"/>
          <w:sz w:val="32"/>
          <w:szCs w:val="32"/>
        </w:rPr>
      </w:pPr>
    </w:p>
    <w:p w14:paraId="1B0472B0">
      <w:pPr>
        <w:spacing w:line="600" w:lineRule="exact"/>
        <w:jc w:val="center"/>
        <w:rPr>
          <w:rFonts w:eastAsia="黑体"/>
          <w:sz w:val="32"/>
          <w:szCs w:val="32"/>
        </w:rPr>
      </w:pPr>
    </w:p>
    <w:p w14:paraId="4FE653C4">
      <w:pPr>
        <w:spacing w:line="600" w:lineRule="exact"/>
        <w:jc w:val="center"/>
        <w:rPr>
          <w:rFonts w:eastAsia="黑体"/>
          <w:sz w:val="32"/>
          <w:szCs w:val="32"/>
        </w:rPr>
      </w:pPr>
    </w:p>
    <w:p w14:paraId="1BB10D02">
      <w:pPr>
        <w:spacing w:line="600" w:lineRule="exact"/>
        <w:jc w:val="center"/>
        <w:rPr>
          <w:rFonts w:eastAsia="黑体"/>
          <w:sz w:val="32"/>
          <w:szCs w:val="32"/>
        </w:rPr>
      </w:pPr>
    </w:p>
    <w:p w14:paraId="4E25142B">
      <w:pPr>
        <w:spacing w:line="600" w:lineRule="exact"/>
        <w:jc w:val="center"/>
        <w:rPr>
          <w:rFonts w:eastAsia="黑体"/>
          <w:sz w:val="32"/>
          <w:szCs w:val="32"/>
        </w:rPr>
      </w:pPr>
    </w:p>
    <w:p w14:paraId="2E4D105D">
      <w:pPr>
        <w:spacing w:line="600" w:lineRule="exact"/>
        <w:ind w:firstLine="1920" w:firstLineChars="600"/>
        <w:rPr>
          <w:rFonts w:eastAsia="仿宋"/>
          <w:sz w:val="32"/>
          <w:szCs w:val="32"/>
        </w:rPr>
      </w:pPr>
    </w:p>
    <w:p w14:paraId="6A966C3C">
      <w:pPr>
        <w:spacing w:line="600" w:lineRule="exact"/>
        <w:ind w:firstLine="1920" w:firstLineChars="600"/>
        <w:rPr>
          <w:rFonts w:eastAsia="仿宋"/>
          <w:sz w:val="32"/>
          <w:szCs w:val="32"/>
        </w:rPr>
      </w:pPr>
    </w:p>
    <w:p w14:paraId="0C350FB2">
      <w:pPr>
        <w:spacing w:line="600" w:lineRule="exact"/>
        <w:ind w:firstLine="1920" w:firstLineChars="600"/>
        <w:rPr>
          <w:rFonts w:eastAsia="仿宋"/>
          <w:sz w:val="32"/>
          <w:szCs w:val="32"/>
        </w:rPr>
      </w:pPr>
    </w:p>
    <w:p w14:paraId="050252EF">
      <w:pPr>
        <w:spacing w:line="600" w:lineRule="exact"/>
        <w:ind w:firstLine="1920" w:firstLineChars="600"/>
        <w:rPr>
          <w:rFonts w:eastAsia="仿宋"/>
          <w:sz w:val="32"/>
          <w:szCs w:val="32"/>
        </w:rPr>
      </w:pPr>
    </w:p>
    <w:p w14:paraId="38C52222">
      <w:pPr>
        <w:spacing w:line="600" w:lineRule="exact"/>
        <w:ind w:firstLine="1920" w:firstLineChars="600"/>
        <w:rPr>
          <w:rFonts w:eastAsia="仿宋"/>
          <w:sz w:val="32"/>
          <w:szCs w:val="32"/>
        </w:rPr>
      </w:pPr>
    </w:p>
    <w:p w14:paraId="0545DDA6">
      <w:pPr>
        <w:spacing w:line="600" w:lineRule="exact"/>
        <w:ind w:firstLine="1920" w:firstLineChars="600"/>
        <w:rPr>
          <w:rFonts w:eastAsia="仿宋"/>
          <w:sz w:val="32"/>
          <w:szCs w:val="32"/>
        </w:rPr>
      </w:pPr>
    </w:p>
    <w:p w14:paraId="36311C91">
      <w:pPr>
        <w:spacing w:line="600" w:lineRule="exact"/>
        <w:ind w:firstLine="1920" w:firstLineChars="600"/>
        <w:rPr>
          <w:rFonts w:eastAsia="仿宋"/>
          <w:sz w:val="32"/>
          <w:szCs w:val="32"/>
        </w:rPr>
      </w:pPr>
    </w:p>
    <w:p w14:paraId="0A0EA9E8">
      <w:pPr>
        <w:spacing w:line="600" w:lineRule="exact"/>
        <w:ind w:firstLine="1920" w:firstLineChars="600"/>
        <w:rPr>
          <w:rFonts w:eastAsia="仿宋"/>
          <w:sz w:val="32"/>
          <w:szCs w:val="32"/>
          <w:u w:val="single"/>
        </w:rPr>
      </w:pPr>
      <w:r>
        <w:rPr>
          <w:rFonts w:eastAsia="仿宋"/>
          <w:sz w:val="32"/>
          <w:szCs w:val="32"/>
        </w:rPr>
        <w:t>单位名称：</w:t>
      </w:r>
      <w:r>
        <w:rPr>
          <w:rFonts w:hint="eastAsia" w:eastAsia="仿宋"/>
          <w:sz w:val="32"/>
          <w:szCs w:val="32"/>
          <w:u w:val="single"/>
          <w:lang w:eastAsia="zh-CN"/>
        </w:rPr>
        <w:t>中国国际贸易促进委员会娄底支会</w:t>
      </w:r>
      <w:r>
        <w:rPr>
          <w:rFonts w:eastAsia="仿宋"/>
          <w:sz w:val="32"/>
          <w:szCs w:val="32"/>
          <w:u w:val="single"/>
        </w:rPr>
        <w:t xml:space="preserve">        </w:t>
      </w:r>
    </w:p>
    <w:p w14:paraId="077C43C4">
      <w:pPr>
        <w:spacing w:line="600" w:lineRule="exact"/>
        <w:ind w:firstLine="3200" w:firstLineChars="10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  <w:lang w:val="en-US" w:eastAsia="zh-CN"/>
        </w:rPr>
        <w:t>2026</w:t>
      </w:r>
      <w:r>
        <w:rPr>
          <w:rFonts w:eastAsia="仿宋"/>
          <w:sz w:val="32"/>
          <w:szCs w:val="32"/>
        </w:rPr>
        <w:t>年</w:t>
      </w:r>
      <w:r>
        <w:rPr>
          <w:rFonts w:hint="eastAsia" w:eastAsia="仿宋"/>
          <w:sz w:val="32"/>
          <w:szCs w:val="32"/>
          <w:lang w:val="en-US" w:eastAsia="zh-CN"/>
        </w:rPr>
        <w:t>5</w:t>
      </w:r>
      <w:r>
        <w:rPr>
          <w:rFonts w:eastAsia="仿宋"/>
          <w:sz w:val="32"/>
          <w:szCs w:val="32"/>
        </w:rPr>
        <w:t>月</w:t>
      </w:r>
      <w:r>
        <w:rPr>
          <w:rFonts w:hint="eastAsia" w:eastAsia="仿宋"/>
          <w:sz w:val="32"/>
          <w:szCs w:val="32"/>
          <w:lang w:val="en-US" w:eastAsia="zh-CN"/>
        </w:rPr>
        <w:t>26</w:t>
      </w:r>
      <w:r>
        <w:rPr>
          <w:rFonts w:eastAsia="仿宋"/>
          <w:sz w:val="32"/>
          <w:szCs w:val="32"/>
        </w:rPr>
        <w:t>日</w:t>
      </w:r>
    </w:p>
    <w:p w14:paraId="0D5CD50F">
      <w:pPr>
        <w:spacing w:line="600" w:lineRule="exact"/>
        <w:jc w:val="center"/>
        <w:rPr>
          <w:rFonts w:eastAsia="仿宋"/>
          <w:sz w:val="32"/>
          <w:szCs w:val="32"/>
        </w:rPr>
      </w:pPr>
    </w:p>
    <w:p w14:paraId="24A4A52A">
      <w:pPr>
        <w:spacing w:line="600" w:lineRule="exac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br w:type="page"/>
      </w:r>
    </w:p>
    <w:p w14:paraId="2F7509E8">
      <w:pPr>
        <w:spacing w:line="600" w:lineRule="exact"/>
        <w:jc w:val="center"/>
        <w:rPr>
          <w:rFonts w:eastAsia="方正小标宋_GBK"/>
          <w:sz w:val="44"/>
          <w:szCs w:val="44"/>
        </w:rPr>
      </w:pPr>
      <w:bookmarkStart w:id="0" w:name="_Toc280893384_WPSOffice_Level1"/>
      <w:r>
        <w:rPr>
          <w:rFonts w:eastAsia="方正小标宋_GBK"/>
          <w:sz w:val="44"/>
          <w:szCs w:val="44"/>
        </w:rPr>
        <w:t>202</w:t>
      </w:r>
      <w:r>
        <w:rPr>
          <w:rFonts w:hint="eastAsia" w:eastAsia="方正小标宋_GBK"/>
          <w:sz w:val="44"/>
          <w:szCs w:val="44"/>
        </w:rPr>
        <w:t>5</w:t>
      </w:r>
      <w:r>
        <w:rPr>
          <w:rFonts w:eastAsia="方正小标宋_GBK"/>
          <w:sz w:val="44"/>
          <w:szCs w:val="44"/>
        </w:rPr>
        <w:t>年度部门整体支出</w:t>
      </w:r>
      <w:bookmarkEnd w:id="0"/>
      <w:bookmarkStart w:id="1" w:name="_Toc1766696696_WPSOffice_Level1"/>
      <w:r>
        <w:rPr>
          <w:rFonts w:eastAsia="方正小标宋_GBK"/>
          <w:sz w:val="44"/>
          <w:szCs w:val="44"/>
        </w:rPr>
        <w:t>绩效自评报告</w:t>
      </w:r>
      <w:bookmarkEnd w:id="1"/>
    </w:p>
    <w:p w14:paraId="6C06B4FD">
      <w:pPr>
        <w:pStyle w:val="11"/>
        <w:widowControl/>
        <w:spacing w:line="600" w:lineRule="exact"/>
        <w:ind w:firstLine="640"/>
        <w:jc w:val="center"/>
        <w:rPr>
          <w:rFonts w:hint="eastAsia" w:ascii="仿宋" w:hAnsi="仿宋" w:eastAsia="仿宋" w:cs="宋体"/>
          <w:color w:val="000000"/>
          <w:kern w:val="0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none"/>
          <w:lang w:eastAsia="zh-CN"/>
        </w:rPr>
        <w:t>（</w:t>
      </w:r>
      <w:r>
        <w:rPr>
          <w:rFonts w:hint="eastAsia" w:eastAsia="仿宋"/>
          <w:sz w:val="32"/>
          <w:szCs w:val="32"/>
          <w:u w:val="none"/>
          <w:lang w:eastAsia="zh-CN"/>
        </w:rPr>
        <w:t>中国国际贸易促进委员会娄底支会</w:t>
      </w:r>
      <w:r>
        <w:rPr>
          <w:rFonts w:eastAsia="仿宋"/>
          <w:sz w:val="32"/>
          <w:szCs w:val="32"/>
          <w:u w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none"/>
          <w:lang w:eastAsia="zh-CN"/>
        </w:rPr>
        <w:t>）</w:t>
      </w:r>
    </w:p>
    <w:p w14:paraId="5904B9DE">
      <w:pPr>
        <w:pStyle w:val="11"/>
        <w:widowControl/>
        <w:spacing w:line="60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根据《2025年娄底市预算绩效管理工作要点的通知》要求，我单位对202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年度部门预算整体支出绩效进行了全面综合评价。整体支出分为基本支出和项目支出两部分，基本支出的评价重点是厉行节约保运转，降低行政运行成本;项目支出的评价重点是规范管理促发展，做到专款专用，项目成本事前计划、事中控制和事后分析的全流程管控。现将自评情况汇报如下：</w:t>
      </w:r>
    </w:p>
    <w:p w14:paraId="25E55A47">
      <w:pPr>
        <w:widowControl/>
        <w:autoSpaceDN w:val="0"/>
        <w:spacing w:line="540" w:lineRule="exact"/>
        <w:ind w:firstLine="64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一、部门概况</w:t>
      </w:r>
    </w:p>
    <w:p w14:paraId="0417D84E">
      <w:pPr>
        <w:widowControl/>
        <w:autoSpaceDN w:val="0"/>
        <w:spacing w:line="54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（一）职能职责</w:t>
      </w:r>
    </w:p>
    <w:p w14:paraId="66226031">
      <w:pPr>
        <w:pStyle w:val="11"/>
        <w:widowControl/>
        <w:spacing w:line="60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市贸促会贯彻落实党中央、省委关于贸促工作的方针政策和决策部署,全面落实市委关于贸促工作的部署要求,在履行职责过程中加强党对贸促工作的集中统一领导。主要职责是:</w:t>
      </w:r>
    </w:p>
    <w:p w14:paraId="5A7774FB">
      <w:pPr>
        <w:pStyle w:val="11"/>
        <w:widowControl/>
        <w:spacing w:line="60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(1)拟订全市贸促工作发展计划、纲要,协助组织制定并实施全市外向型经济发展计划。</w:t>
      </w:r>
    </w:p>
    <w:p w14:paraId="1EEED96A">
      <w:pPr>
        <w:pStyle w:val="11"/>
        <w:widowControl/>
        <w:spacing w:line="60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(2)进行政策研究和信息咨询,为开放型经济发展建言献策,承办中外经济技术合作项目的评估和可行性研究工作。</w:t>
      </w:r>
    </w:p>
    <w:p w14:paraId="781EEA4E">
      <w:pPr>
        <w:pStyle w:val="11"/>
        <w:widowControl/>
        <w:spacing w:line="60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(3)组织企业参加国内外展览和经贸活动,参与工商对接活动;加强和创新投资贸易促进工作,帮助企业建设海外营销网络,积极推动国际交流联络;构建娄底企业国际化经营服务平台,推进贸促工作与互联网融合发展。</w:t>
      </w:r>
    </w:p>
    <w:p w14:paraId="631C0131">
      <w:pPr>
        <w:pStyle w:val="11"/>
        <w:widowControl/>
        <w:spacing w:line="60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(4)拓展商事法律综合服务体系,通过签发原产地证书、商事证明、商事仲裁等渠道服务企业。</w:t>
      </w:r>
    </w:p>
    <w:p w14:paraId="5DC36808">
      <w:pPr>
        <w:pStyle w:val="11"/>
        <w:widowControl/>
        <w:spacing w:line="60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(5)健全多双边工商合作平台,不断扩大与海外工商界交流,利用境外娄底商会、华人团体等资源,建立联络和联络体制;主动代言工商,加强与海外商协会联络,营造国际化营商环境。</w:t>
      </w:r>
    </w:p>
    <w:p w14:paraId="530D89E9">
      <w:pPr>
        <w:pStyle w:val="11"/>
        <w:widowControl/>
        <w:spacing w:line="60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(6)加强国际商会管理和工作,专业有效服务会员。</w:t>
      </w:r>
    </w:p>
    <w:p w14:paraId="5F45BD3E">
      <w:pPr>
        <w:pStyle w:val="11"/>
        <w:widowControl/>
        <w:spacing w:line="60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(7)完成市委、市政府交办的其他任务。</w:t>
      </w:r>
    </w:p>
    <w:p w14:paraId="540D77B2">
      <w:pPr>
        <w:pStyle w:val="11"/>
        <w:widowControl/>
        <w:spacing w:line="600" w:lineRule="exact"/>
        <w:ind w:firstLine="6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（二）机构设置</w:t>
      </w:r>
    </w:p>
    <w:p w14:paraId="32F8925E">
      <w:pPr>
        <w:spacing w:line="570" w:lineRule="atLeas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bookmarkStart w:id="2" w:name="ORG_SET"/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我单位为全额拨款的正处级参公群团组织，内设机构2个：办公室、业务部。</w:t>
      </w:r>
      <w:bookmarkEnd w:id="2"/>
    </w:p>
    <w:p w14:paraId="7C1A08DF">
      <w:pPr>
        <w:pStyle w:val="11"/>
        <w:widowControl/>
        <w:spacing w:line="600" w:lineRule="exact"/>
        <w:ind w:firstLine="6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ascii="仿宋_GB2312" w:hAnsi="仿宋_GB2312" w:eastAsia="仿宋_GB2312" w:cs="仿宋_GB2312"/>
          <w:sz w:val="30"/>
          <w:szCs w:val="30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</w:rPr>
        <w:t>三</w:t>
      </w:r>
      <w:r>
        <w:rPr>
          <w:rFonts w:ascii="仿宋_GB2312" w:hAnsi="仿宋_GB2312" w:eastAsia="仿宋_GB2312" w:cs="仿宋_GB2312"/>
          <w:sz w:val="30"/>
          <w:szCs w:val="30"/>
        </w:rPr>
        <w:t>）202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5</w:t>
      </w:r>
      <w:r>
        <w:rPr>
          <w:rFonts w:ascii="仿宋_GB2312" w:hAnsi="仿宋_GB2312" w:eastAsia="仿宋_GB2312" w:cs="仿宋_GB2312"/>
          <w:sz w:val="30"/>
          <w:szCs w:val="30"/>
        </w:rPr>
        <w:t>年度重点工作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目标</w:t>
      </w:r>
    </w:p>
    <w:p w14:paraId="68FF507C">
      <w:pPr>
        <w:pStyle w:val="11"/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1.保障单位正常运转、完成市委政府交付基本工作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                                         </w:t>
      </w:r>
    </w:p>
    <w:p w14:paraId="68EDE496">
      <w:pPr>
        <w:pStyle w:val="11"/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2.完成本年度单位人员经费保障任务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                                                   </w:t>
      </w:r>
    </w:p>
    <w:p w14:paraId="5BB76487">
      <w:pPr>
        <w:pStyle w:val="11"/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3.促进一带一路战略实施外贸发展，助力企业寻找新机遇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                                       </w:t>
      </w:r>
    </w:p>
    <w:p w14:paraId="354BAB21">
      <w:pPr>
        <w:pStyle w:val="11"/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4.组织企业参展拓展国内外市场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                                               </w:t>
      </w:r>
    </w:p>
    <w:p w14:paraId="02779354">
      <w:pPr>
        <w:pStyle w:val="11"/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5.强化国内外商协会交流合作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07EF3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（四）部门整体支出规模、使用方向、主要内容和涉及范围。</w:t>
      </w:r>
    </w:p>
    <w:p w14:paraId="401B5F5F">
      <w:pPr>
        <w:widowControl/>
        <w:autoSpaceDN w:val="0"/>
        <w:spacing w:line="540" w:lineRule="exact"/>
        <w:ind w:firstLine="640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年全年支出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322.47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万元，其中：基本支出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322.47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万元；基本支出系保障本单位机构正常运转、完成日常工作任务而发生的各项支出，用于在职退休人员基本工资、津贴补贴等人员经费以及办公费、印刷费、水电费、差旅费、维修（护）费、其他交通费、办公设备购置等日常公用经费。</w:t>
      </w:r>
    </w:p>
    <w:p w14:paraId="2E5C9C62">
      <w:pPr>
        <w:widowControl/>
        <w:autoSpaceDN w:val="0"/>
        <w:spacing w:line="540" w:lineRule="exact"/>
        <w:ind w:firstLine="640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二、一般公共预算支出情况</w:t>
      </w:r>
    </w:p>
    <w:p w14:paraId="4105AA27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（一）基本支出情况</w:t>
      </w:r>
    </w:p>
    <w:p w14:paraId="3D691813">
      <w:pPr>
        <w:widowControl/>
        <w:autoSpaceDN w:val="0"/>
        <w:spacing w:line="54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1.202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年全年基本支出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322.47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万元,其中包括：工资福利支出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197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万元，用于保障本单位在职干部职工的基本工资、津贴补贴、政府奖励、社会保险缴费等；商品和服务支出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115.76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万元，用于保障单位机构正常运转、完成日常工作任务的经费支出如办公费、差旅费、印刷费、接待费等；对个人和家庭补助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8.57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万元，用于保障本单位退休人员的津贴补贴及生活补助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、节日慰问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等；其他资本性支出1.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万元，用于购买办公设备。</w:t>
      </w:r>
    </w:p>
    <w:p w14:paraId="03CD631A">
      <w:pPr>
        <w:widowControl/>
        <w:autoSpaceDN w:val="0"/>
        <w:spacing w:line="54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2.“三公”经费支出情况：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2025年度“三公”经费财政拨款支出2.58万元，与2024年度相比，减少11.75万元，主要变动原因：单位厉行节约，严控三公经费支出。其中：因公出国（境）支出0万元，公务用车购置及运行维护费支出2.46万元，公务接待费支出0.12万元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。</w:t>
      </w:r>
    </w:p>
    <w:p w14:paraId="795F99E2">
      <w:pPr>
        <w:widowControl/>
        <w:autoSpaceDN w:val="0"/>
        <w:spacing w:line="54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3.会议费支出情况：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2025年会议费1.88万元，比上年增加1.3万元，主要是本年度本年度召开了娄底国际商会理事会，会议费稍有增加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。</w:t>
      </w:r>
    </w:p>
    <w:p w14:paraId="23C2245B">
      <w:pPr>
        <w:widowControl/>
        <w:autoSpaceDN w:val="0"/>
        <w:spacing w:line="54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4.培训费支出情况：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2025年培训费0.57万元，比上年减少1.7万元，主要是本年度落实过紧日子要求，严格控制经费支出。</w:t>
      </w:r>
    </w:p>
    <w:p w14:paraId="7BECC646">
      <w:pPr>
        <w:pStyle w:val="11"/>
        <w:spacing w:line="600" w:lineRule="exact"/>
        <w:ind w:firstLine="64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（二）项目支出情况</w:t>
      </w:r>
    </w:p>
    <w:p w14:paraId="751F6B82">
      <w:pPr>
        <w:widowControl/>
        <w:autoSpaceDN w:val="0"/>
        <w:spacing w:line="54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2025年本单位项目支出0万元。</w:t>
      </w:r>
    </w:p>
    <w:p w14:paraId="7AF2501C">
      <w:pPr>
        <w:widowControl/>
        <w:autoSpaceDN w:val="0"/>
        <w:spacing w:line="540" w:lineRule="exact"/>
        <w:ind w:firstLine="640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三、政府性基金预算支出情况</w:t>
      </w:r>
    </w:p>
    <w:p w14:paraId="148E7B1E">
      <w:pPr>
        <w:widowControl/>
        <w:autoSpaceDN w:val="0"/>
        <w:spacing w:line="54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2025年本单位无政府性基金预算支出。</w:t>
      </w:r>
    </w:p>
    <w:p w14:paraId="20788A34">
      <w:pPr>
        <w:widowControl/>
        <w:autoSpaceDN w:val="0"/>
        <w:spacing w:line="540" w:lineRule="exact"/>
        <w:ind w:firstLine="640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四、国有资本经营预算支出情况</w:t>
      </w:r>
    </w:p>
    <w:p w14:paraId="5BB6D8F7">
      <w:pPr>
        <w:widowControl/>
        <w:autoSpaceDN w:val="0"/>
        <w:spacing w:line="54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2025年本单位无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国有资本经营预算支出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。</w:t>
      </w:r>
    </w:p>
    <w:p w14:paraId="57E92BCC">
      <w:pPr>
        <w:widowControl/>
        <w:autoSpaceDN w:val="0"/>
        <w:spacing w:line="540" w:lineRule="exact"/>
        <w:ind w:firstLine="640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五、社会保险基金预算支出情况</w:t>
      </w:r>
    </w:p>
    <w:p w14:paraId="31D0CDBA">
      <w:pPr>
        <w:widowControl/>
        <w:autoSpaceDN w:val="0"/>
        <w:spacing w:line="54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2025年本单位无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社会保险基金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预算支出。</w:t>
      </w:r>
    </w:p>
    <w:p w14:paraId="3D7D86AB">
      <w:pPr>
        <w:widowControl/>
        <w:autoSpaceDN w:val="0"/>
        <w:spacing w:line="54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六、部门整体支出绩效情况</w:t>
      </w:r>
    </w:p>
    <w:p w14:paraId="3A684D56">
      <w:pPr>
        <w:pStyle w:val="11"/>
        <w:widowControl/>
        <w:spacing w:line="600" w:lineRule="exact"/>
        <w:ind w:firstLine="60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（一）总结归纳本部门（单位）预算支出的绩效目标完成情况，实现产出和取得效益的情况。</w:t>
      </w:r>
    </w:p>
    <w:p w14:paraId="2B81FBFC">
      <w:pPr>
        <w:widowControl/>
        <w:autoSpaceDN w:val="0"/>
        <w:spacing w:line="54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2025年度，单位预算资金322.47万元，资金全部用于机关运转、经贸促进、商事法律服务、企业帮扶、对外经贸交流等主责主业，圆满实现了年度绩效目标。</w:t>
      </w:r>
    </w:p>
    <w:p w14:paraId="760EEBD6">
      <w:pPr>
        <w:widowControl/>
        <w:autoSpaceDN w:val="0"/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目标1：保障单位正常运转、完成市委政府交付基本工作。</w:t>
      </w:r>
    </w:p>
    <w:p w14:paraId="6671AE52">
      <w:pPr>
        <w:widowControl/>
        <w:autoSpaceDN w:val="0"/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完成情况：2025年单位及时支付机关各单位履行职能所需求的办公费、印刷费、水电费、邮电费、物业管理费、维修维护费、差旅费等日常开支，切实保证了机关的正常运转，促进日常工作的进一步开展，市委政府交付的基本工作完成率100%。</w:t>
      </w:r>
    </w:p>
    <w:p w14:paraId="5F718CD4">
      <w:pPr>
        <w:widowControl/>
        <w:autoSpaceDN w:val="0"/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目标2：完成本年度单位人员经费保障任务。</w:t>
      </w:r>
    </w:p>
    <w:p w14:paraId="08A19601">
      <w:pPr>
        <w:widowControl/>
        <w:autoSpaceDN w:val="0"/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完成情况：本单位2025年末在职人员10人，退休人员4人。全年每月按时发放了工资、津贴补贴、退休费等，缴纳住房公积金和基本养老保险、医保金等社会保险缴费，切实保障了单位人员工资、正常福利。单位人员对财政资金和单位经费的保障的预计满意度达100%。</w:t>
      </w:r>
    </w:p>
    <w:p w14:paraId="17F5AE8E">
      <w:pPr>
        <w:widowControl/>
        <w:autoSpaceDN w:val="0"/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目标3：促进”一带一路”战略实施外贸发展，助力企业寻找新机遇。</w:t>
      </w:r>
    </w:p>
    <w:p w14:paraId="7DB21995">
      <w:pPr>
        <w:widowControl/>
        <w:autoSpaceDN w:val="0"/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完成情况：借助重大经贸活动契机，全年举办6次专场推介活动，引导企业主动上台推介，创新宣传方式，进一步提高娄商娄品市场认知度。第十一届成都国际汽车展期间，我市8家企业采取“展会+推介+直播采访”的组合宣传方式，作主题推介，长江电子、美程科技等2家企业先后接受展会合作媒体的采访，得到中新网、河北广播电视台、四川观察等10余家媒体的广泛宣传。在2025（中国）亚欧商品贸易博览会、第三届中国国际供应链促进博览会等重点展会期间，举办地标产品专场推介会，将地域文化、非遗表演带入展会现场，宣传效应进一步彰显。</w:t>
      </w:r>
    </w:p>
    <w:p w14:paraId="5ED87F12">
      <w:pPr>
        <w:widowControl/>
        <w:autoSpaceDN w:val="0"/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目标4：组织企业参展拓展国内市场。</w:t>
      </w:r>
    </w:p>
    <w:p w14:paraId="37F88C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完成情况：2025年，我会坚持“贸促搭台、企业唱戏”，以展为媒，聚焦电子陶瓷、地标产品、农用装备、工程机械等优势产业，制定《2025年娄底市贸促会重点经贸活动计划》，先后组织60余家企业“走出去”，深度开拓国内外市场。</w:t>
      </w:r>
    </w:p>
    <w:p w14:paraId="656A996A">
      <w:pPr>
        <w:widowControl/>
        <w:autoSpaceDN w:val="0"/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目标5：强化国内外商协会交流合作。</w:t>
      </w:r>
    </w:p>
    <w:p w14:paraId="7204E7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完成情况：2025年，第三届中国国际供应链促进博览会期间，我市代表团分别拜访考察了新源劲吾、抖音集团、北方工业大学等，实地了解前沿技术动态与产业趋势，对接潜在合作资源。第十一届成都国际汽车展期间，主动邀请三星新材料、福摩斯工业等63家客商对接洽谈，力争实现“材料谷”上下游企业互利共赢。湖南贸易投资促进全球合作伙伴会议期间，邀请印度尼西亚粮食事务统筹部代表团来我市双峰县考察，推动农业领域合作。</w:t>
      </w:r>
    </w:p>
    <w:p w14:paraId="2C31805B">
      <w:pPr>
        <w:widowControl/>
        <w:autoSpaceDN w:val="0"/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2025年分别与成都市贸促会、长春市贸促会、海口市贸促会签订战略合作协议，指导双峰县贸促会与红星闪耀非洲会展公司签署合作协议。目前，我会与45家境内外商协会建立了长期合作关系，为我市优势产业、优质产品“走出去”汇聚了资源平台。</w:t>
      </w:r>
    </w:p>
    <w:p w14:paraId="6EB364F4">
      <w:pPr>
        <w:pStyle w:val="11"/>
        <w:widowControl/>
        <w:spacing w:line="600" w:lineRule="exact"/>
        <w:ind w:firstLineChars="14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（二）未实现既定绩效目标或未完成指标任务的分析说明。</w:t>
      </w:r>
    </w:p>
    <w:p w14:paraId="2F4D31B9">
      <w:pPr>
        <w:widowControl/>
        <w:autoSpaceDN w:val="0"/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我单位既定绩效目标及指标任务均已完成。</w:t>
      </w:r>
    </w:p>
    <w:p w14:paraId="217E588E">
      <w:pPr>
        <w:widowControl/>
        <w:numPr>
          <w:ilvl w:val="0"/>
          <w:numId w:val="1"/>
        </w:numPr>
        <w:autoSpaceDN w:val="0"/>
        <w:spacing w:line="560" w:lineRule="exact"/>
        <w:ind w:firstLine="480" w:firstLineChars="15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围绕部门（单位）职责、行业发展规划，以预算资金管理为主线，总结部门（单位）资产管理和开展业务情况，从运行成本、管理效率、履职效能、社会效应、可持续发展能力和服务对象满意度等方面，衡量部门（单位）整体及核心业务实施效果。</w:t>
      </w:r>
    </w:p>
    <w:p w14:paraId="0043B7C8">
      <w:pPr>
        <w:pStyle w:val="7"/>
        <w:spacing w:beforeAutospacing="0" w:afterAutospacing="0" w:line="64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1.运行成本：我单位严格落实“过紧日子”工作要求，大力压减非刚性、非一般性支出，切实做好厉行节约工作，全面落实各项管理制度要求，努力降低行政成本。全年经费支出全程管控、流程规范，“三公”经费严格执行标准，无超支、浪费等现象。单位整体运行成本管控有力，资金使用精打细算，成本投入与业务产出匹配度高，实现了低成本、高实效的运行目标。</w:t>
      </w:r>
    </w:p>
    <w:p w14:paraId="5C5489D9">
      <w:pPr>
        <w:pStyle w:val="7"/>
        <w:spacing w:beforeAutospacing="0" w:afterAutospacing="0" w:line="64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2.管理效率：单位财务、资产、内控等各项管理制度健全完备，预算编制、资金审批、费用报销、资产盘点、业务督办等全流程闭环管理。预算执行进度均衡有序，资产管理账实相符、动态更新，固定资产使用高效，无闲置、流失问题。日常政务运转、业务交办、事项办结效率较高，内部协作顺畅，各项工作按时保质落地，部门综合管理水平持续提升。</w:t>
      </w:r>
    </w:p>
    <w:p w14:paraId="323939DA">
      <w:pPr>
        <w:snapToGrid w:val="0"/>
        <w:spacing w:line="52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3.履职效能：紧扣贸促核心职责与全市开放型经济发展规划，全面完成年度既定工作任务。展会组织、原产地证办理、商事认证、贸易纠纷调解、对外经贸交流、企业走访帮扶等核心业务指标全部达标。充分发挥联通政企、链接内外的职能优势，主动靠前服务外贸市场主体，有效落实稳外贸、拓市场、促合作工作任务，履职担当到位，核心业务实施成效突出。</w:t>
      </w:r>
    </w:p>
    <w:p w14:paraId="586D28E0">
      <w:pPr>
        <w:snapToGrid w:val="0"/>
        <w:spacing w:line="52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4.社会效益: 依托各项贸促业务，持续优化全市涉外营商环境，切实为企业纾困解难、防范经营风险。积极组织企业“走出去”参展拓市，打响“娄品出娄”品牌，不断提升娄底对外开放形象与区域影响力。工作开展有效激发外贸市场活力，带动优势产业发展，助力全市经济平稳增长，正向社会效益显著。</w:t>
      </w:r>
    </w:p>
    <w:p w14:paraId="6EC5FA8E">
      <w:pPr>
        <w:spacing w:line="64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5.服务对象满意度：通过实地走访、座谈调研、线上回访、日常服务反馈等多种方式收集评价意见，服务对象涵盖全市外贸企业、行业商协会及相关合作单位。大家对展会组织服务、商事法务办理、政策解读、经贸对接帮扶等工作认可度高，诉求响应及时，整体服务满意度保持较高水平。</w:t>
      </w:r>
    </w:p>
    <w:p w14:paraId="3E1E291A">
      <w:pPr>
        <w:spacing w:line="640" w:lineRule="exact"/>
        <w:ind w:firstLine="640" w:firstLineChars="200"/>
        <w:jc w:val="left"/>
        <w:rPr>
          <w:rFonts w:hint="default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6.资产管理情况：单位制定了固定资产管理制度，固定资产由资产管理员统一管理，对资产的购置、验收，入库、出库（领用、借用）、调拨、处置和盘点等流程进行规范，财务账与资产账定期核对，做到账实相符、账账相符。</w:t>
      </w:r>
    </w:p>
    <w:p w14:paraId="79EE71FB">
      <w:pPr>
        <w:widowControl/>
        <w:numPr>
          <w:ilvl w:val="0"/>
          <w:numId w:val="0"/>
        </w:numPr>
        <w:autoSpaceDN w:val="0"/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（四）加强部门整体支出绩效管理的举措。</w:t>
      </w:r>
    </w:p>
    <w:p w14:paraId="591A9484">
      <w:pPr>
        <w:widowControl/>
        <w:autoSpaceDN w:val="0"/>
        <w:spacing w:line="54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 xml:space="preserve">1.按照绩效管理有关规定，开展绩效目标编制、绩效监控及绩效评价等工作，确保绩效监控全覆盖，不断提升绩效自评管理。  </w:t>
      </w:r>
    </w:p>
    <w:p w14:paraId="0596E9EA">
      <w:pPr>
        <w:widowControl/>
        <w:autoSpaceDN w:val="0"/>
        <w:spacing w:line="54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-SA"/>
        </w:rPr>
        <w:t>2.在绩效跟踪和评价过程中，对填报内容严格把关，确保证明材料客观详实，评价数据科学准确。</w:t>
      </w:r>
    </w:p>
    <w:p w14:paraId="668D8D48">
      <w:pPr>
        <w:widowControl/>
        <w:autoSpaceDN w:val="0"/>
        <w:spacing w:line="540" w:lineRule="exact"/>
        <w:ind w:firstLine="640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七、存在的问题及原因分析</w:t>
      </w:r>
    </w:p>
    <w:p w14:paraId="340F495F">
      <w:pPr>
        <w:spacing w:line="640" w:lineRule="exact"/>
        <w:ind w:firstLine="640" w:firstLineChars="200"/>
        <w:jc w:val="left"/>
        <w:rPr>
          <w:rFonts w:hint="default" w:ascii="黑体" w:hAnsi="黑体" w:eastAsia="黑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根据本次绩效自评情况，存在的问题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：一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绩效目标及指标设置精细化不足，主要原因是绩效指标体系建设不够完善；二是年初预算与年终决算存在差异，主要原因是年中追加了部分国际拓展工作经费，没有纳入年初预算。</w:t>
      </w:r>
    </w:p>
    <w:p w14:paraId="4327A65F">
      <w:pPr>
        <w:widowControl/>
        <w:autoSpaceDN w:val="0"/>
        <w:spacing w:line="54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八、下一步改进措施</w:t>
      </w:r>
    </w:p>
    <w:p w14:paraId="19638FB8">
      <w:pPr>
        <w:snapToGrid w:val="0"/>
        <w:spacing w:line="52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1、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细化绩效指标设置。由办公室牵头，结合贸促核心业务特点，分类建立展会服务、商事服务、经贸交流、企业帮扶等专项绩效指标库，提高指标量化度、精准度和可考核性。</w:t>
      </w:r>
    </w:p>
    <w:p w14:paraId="454704BE">
      <w:pPr>
        <w:snapToGrid w:val="0"/>
        <w:spacing w:line="520" w:lineRule="exact"/>
        <w:ind w:firstLine="640" w:firstLineChars="200"/>
        <w:rPr>
          <w:rFonts w:hint="eastAsia" w:ascii="黑体" w:hAnsi="黑体" w:eastAsia="仿宋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进一步强化预算管理意识。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财务部门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预算编制前做好衔接工作，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梳理单位经贸活动任务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提高预算编制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的精准度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和绩效目标设定的科学性、合理性，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年中根据实际工作任务，及时调整预算，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提高财政资金的使用效益。</w:t>
      </w:r>
    </w:p>
    <w:p w14:paraId="30DC5E8E">
      <w:pPr>
        <w:widowControl/>
        <w:autoSpaceDN w:val="0"/>
        <w:spacing w:line="540" w:lineRule="exact"/>
        <w:ind w:firstLine="640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九、部门整体支出绩效自评结果拟应用和公开情况</w:t>
      </w:r>
    </w:p>
    <w:p w14:paraId="1A50B8E4">
      <w:pPr>
        <w:snapToGrid w:val="0"/>
        <w:spacing w:line="52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1.单位将对部门整体支出绩效自评结果认真进行分析，找出短板，补齐不足，在以后工作将预算绩效管理进一步落到实处。       </w:t>
      </w:r>
    </w:p>
    <w:p w14:paraId="36753CBF">
      <w:pPr>
        <w:snapToGrid w:val="0"/>
        <w:spacing w:line="520" w:lineRule="exact"/>
        <w:ind w:firstLine="640" w:firstLineChars="200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2.严格按要求及时在单位门户网站对外公开，接受社会监督。</w:t>
      </w:r>
    </w:p>
    <w:p w14:paraId="1EEF6F00">
      <w:pPr>
        <w:widowControl/>
        <w:autoSpaceDN w:val="0"/>
        <w:spacing w:line="540" w:lineRule="exact"/>
        <w:ind w:firstLine="640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十、其他需要说明的情况</w:t>
      </w:r>
    </w:p>
    <w:p w14:paraId="0F1B9E63">
      <w:pPr>
        <w:widowControl/>
        <w:autoSpaceDN w:val="0"/>
        <w:spacing w:line="54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无</w:t>
      </w:r>
    </w:p>
    <w:p w14:paraId="1C4D38A8">
      <w:pPr>
        <w:widowControl/>
        <w:autoSpaceDN w:val="0"/>
        <w:spacing w:line="540" w:lineRule="exact"/>
        <w:ind w:firstLine="64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 w14:paraId="132B7C41">
      <w:pPr>
        <w:pStyle w:val="12"/>
        <w:spacing w:line="600" w:lineRule="exact"/>
        <w:ind w:firstLine="0" w:firstLineChars="0"/>
        <w:jc w:val="both"/>
        <w:rPr>
          <w:rFonts w:eastAsia="仿宋"/>
          <w:kern w:val="0"/>
          <w:sz w:val="32"/>
          <w:szCs w:val="32"/>
        </w:rPr>
      </w:pPr>
    </w:p>
    <w:p w14:paraId="26B445EE">
      <w:pPr>
        <w:pStyle w:val="2"/>
        <w:ind w:left="0" w:leftChars="0" w:firstLine="0" w:firstLineChars="0"/>
      </w:pP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汉仪旗黑-30简">
    <w:altName w:val="黑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汉仪大黑简">
    <w:altName w:val="黑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icrosoft YaHei UI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EFA366"/>
    <w:multiLevelType w:val="singleLevel"/>
    <w:tmpl w:val="B9EFA366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523676"/>
    <w:rsid w:val="053D61FF"/>
    <w:rsid w:val="05F542FB"/>
    <w:rsid w:val="0FBE4261"/>
    <w:rsid w:val="172F4566"/>
    <w:rsid w:val="25D060AC"/>
    <w:rsid w:val="34E75607"/>
    <w:rsid w:val="357844E6"/>
    <w:rsid w:val="3D3B2228"/>
    <w:rsid w:val="43BB30E7"/>
    <w:rsid w:val="4A523676"/>
    <w:rsid w:val="4BB73126"/>
    <w:rsid w:val="4FBC1398"/>
    <w:rsid w:val="4FCE7D2C"/>
    <w:rsid w:val="504F05D9"/>
    <w:rsid w:val="6EFE7B8E"/>
    <w:rsid w:val="77362700"/>
    <w:rsid w:val="788E5A74"/>
    <w:rsid w:val="7961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ind w:firstLine="664"/>
    </w:pPr>
  </w:style>
  <w:style w:type="paragraph" w:styleId="3">
    <w:name w:val="Body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endnote text"/>
    <w:basedOn w:val="1"/>
    <w:qFormat/>
    <w:uiPriority w:val="0"/>
    <w:pPr>
      <w:snapToGrid w:val="0"/>
    </w:pPr>
    <w:rPr>
      <w:rFonts w:ascii="Times New Roman" w:hAnsi="Times New Roman" w:eastAsia="宋体" w:cs="Times New Roman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qFormat/>
    <w:uiPriority w:val="0"/>
    <w:pPr>
      <w:ind w:firstLine="420" w:firstLineChars="200"/>
    </w:p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BodyText1I"/>
    <w:basedOn w:val="1"/>
    <w:qFormat/>
    <w:uiPriority w:val="99"/>
    <w:pPr>
      <w:snapToGrid w:val="0"/>
      <w:spacing w:line="360" w:lineRule="auto"/>
      <w:ind w:firstLine="420" w:firstLineChars="100"/>
    </w:pPr>
    <w:rPr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2771</Words>
  <Characters>2926</Characters>
  <Lines>0</Lines>
  <Paragraphs>0</Paragraphs>
  <TotalTime>20</TotalTime>
  <ScaleCrop>false</ScaleCrop>
  <LinksUpToDate>false</LinksUpToDate>
  <CharactersWithSpaces>3316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2026-05-26T06:55:00Z</dcterms:created>
  <dc:creator>WPS_1669002976</dc:creator>
  <cp:lastModifiedBy>WPS_1669002976</cp:lastModifiedBy>
  <dcterms:modified xsi:type="dcterms:W3CDTF">2026-05-27T03:32:48Z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1F270763FB2A4C0CBB336EB32090EBE2_11</vt:lpwstr>
  </property>
  <property fmtid="{D5CDD505-2E9C-101B-9397-08002B2CF9AE}" pid="4" name="KSOTemplateDocerSaveRecord">
    <vt:lpwstr>eyJoZGlkIjoiMzBjZTZjNzkxZjI3MmE5NGFlZmRhMDRkN2M2YzBhMDUiLCJ1c2VySWQiOiIxNDM3MDcyMTg5In0=</vt:lpwstr>
  </property>
</Properties>
</file>